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WG2 Meeting #119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bis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-e   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      </w:t>
      </w:r>
      <w:r>
        <w:rPr>
          <w:rFonts w:ascii="Arial" w:hAnsi="Arial" w:eastAsia="MS Mincho" w:cs="Arial"/>
          <w:b/>
          <w:kern w:val="0"/>
          <w:sz w:val="22"/>
          <w:lang w:val="en-GB" w:eastAsia="en-GB"/>
        </w:rPr>
        <w:t>R2-22</w:t>
      </w:r>
      <w:r>
        <w:rPr>
          <w:rFonts w:hint="eastAsia" w:ascii="Arial" w:hAnsi="Arial" w:eastAsia="宋体" w:cs="Arial"/>
          <w:b/>
          <w:kern w:val="0"/>
          <w:sz w:val="22"/>
          <w:lang w:val="en-US" w:eastAsia="zh-CN"/>
        </w:rPr>
        <w:t>10155</w:t>
      </w: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>Electronic Meeting, 1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0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 xml:space="preserve"> –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1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 xml:space="preserve">9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October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>, 2022</w:t>
      </w: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>
      <w:pPr>
        <w:widowControl/>
        <w:tabs>
          <w:tab w:val="left" w:pos="1985"/>
        </w:tabs>
        <w:spacing w:after="12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8.1.2</w:t>
      </w:r>
    </w:p>
    <w:p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 xml:space="preserve">Discussion on 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signalling for side control information</w:t>
      </w:r>
    </w:p>
    <w:p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FS_NR_NetCon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_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Repeater</w:t>
      </w:r>
    </w:p>
    <w:p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 and Decision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1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 w:eastAsia="en-US"/>
        </w:rPr>
      </w:pPr>
      <w:r>
        <w:rPr>
          <w:rFonts w:ascii="Arial" w:hAnsi="Arial" w:eastAsia="宋体" w:cs="Arial"/>
          <w:kern w:val="0"/>
          <w:szCs w:val="21"/>
          <w:lang w:val="en-GB" w:eastAsia="en-US"/>
        </w:rPr>
        <w:t>In RAN#9</w:t>
      </w:r>
      <w:r>
        <w:rPr>
          <w:rFonts w:hint="eastAsia" w:ascii="Arial" w:hAnsi="Arial" w:eastAsia="宋体" w:cs="Arial"/>
          <w:kern w:val="0"/>
          <w:szCs w:val="21"/>
        </w:rPr>
        <w:t>7</w:t>
      </w:r>
      <w:r>
        <w:rPr>
          <w:rFonts w:hint="eastAsia" w:ascii="Arial" w:hAnsi="Arial" w:eastAsia="宋体" w:cs="Arial"/>
          <w:kern w:val="0"/>
          <w:szCs w:val="21"/>
          <w:lang w:val="en-GB"/>
        </w:rPr>
        <w:t>-e</w:t>
      </w:r>
      <w:r>
        <w:rPr>
          <w:rFonts w:ascii="Arial" w:hAnsi="Arial" w:eastAsia="宋体" w:cs="Arial"/>
          <w:kern w:val="0"/>
          <w:szCs w:val="21"/>
          <w:lang w:val="en-GB" w:eastAsia="en-US"/>
        </w:rPr>
        <w:t xml:space="preserve">, a new </w:t>
      </w:r>
      <w:r>
        <w:rPr>
          <w:rFonts w:hint="eastAsia" w:ascii="Arial" w:hAnsi="Arial" w:eastAsia="宋体" w:cs="Arial"/>
          <w:kern w:val="0"/>
          <w:szCs w:val="21"/>
        </w:rPr>
        <w:t>W</w:t>
      </w:r>
      <w:r>
        <w:rPr>
          <w:rFonts w:ascii="Arial" w:hAnsi="Arial" w:eastAsia="宋体" w:cs="Arial"/>
          <w:kern w:val="0"/>
          <w:szCs w:val="21"/>
          <w:lang w:val="en-GB" w:eastAsia="en-US"/>
        </w:rPr>
        <w:t>ID</w:t>
      </w:r>
      <w:r>
        <w:rPr>
          <w:rFonts w:ascii="Arial" w:hAnsi="Arial" w:eastAsia="宋体" w:cs="Arial"/>
          <w:kern w:val="0"/>
          <w:szCs w:val="21"/>
          <w:lang w:val="en-GB"/>
        </w:rPr>
        <w:t xml:space="preserve"> on NR Network-controlled Repeaters</w:t>
      </w:r>
      <w:r>
        <w:rPr>
          <w:rFonts w:ascii="Arial" w:hAnsi="Arial" w:eastAsia="宋体" w:cs="Arial"/>
          <w:kern w:val="0"/>
          <w:szCs w:val="21"/>
          <w:lang w:val="en-GB" w:eastAsia="en-US"/>
        </w:rPr>
        <w:t xml:space="preserve"> [1] was agreed, and the objectives is as follow</w:t>
      </w:r>
      <w:r>
        <w:rPr>
          <w:rFonts w:hint="eastAsia" w:ascii="Arial" w:hAnsi="Arial" w:eastAsia="宋体" w:cs="Arial"/>
          <w:kern w:val="0"/>
          <w:szCs w:val="21"/>
        </w:rPr>
        <w:t>s</w:t>
      </w:r>
      <w:r>
        <w:rPr>
          <w:rFonts w:ascii="Arial" w:hAnsi="Arial" w:eastAsia="宋体" w:cs="Arial"/>
          <w:kern w:val="0"/>
          <w:szCs w:val="21"/>
          <w:lang w:val="en-GB" w:eastAsia="en-US"/>
        </w:rPr>
        <w:t xml:space="preserve">: 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</w:tcPr>
          <w:p>
            <w:p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Specify the signalling and behavior of the following side control information for controlling the NCR-Fwd [RAN1, RAN2]</w:t>
            </w:r>
          </w:p>
          <w:p>
            <w:pPr>
              <w:numPr>
                <w:ilvl w:val="0"/>
                <w:numId w:val="2"/>
              </w:num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Beamforming</w:t>
            </w:r>
          </w:p>
          <w:p>
            <w:pPr>
              <w:numPr>
                <w:ilvl w:val="0"/>
                <w:numId w:val="2"/>
              </w:num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UL-DL TDD operation</w:t>
            </w:r>
          </w:p>
          <w:p>
            <w:pPr>
              <w:numPr>
                <w:ilvl w:val="0"/>
                <w:numId w:val="2"/>
              </w:num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ON-OFF information</w:t>
            </w:r>
          </w:p>
          <w:p>
            <w:pPr>
              <w:pStyle w:val="14"/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Note: Power control aspect will be checked in RAN#98e.</w:t>
            </w:r>
          </w:p>
          <w:p>
            <w:p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Specify control plane signalling and procedures [RAN2, RAN1]</w:t>
            </w:r>
          </w:p>
          <w:p>
            <w:pPr>
              <w:numPr>
                <w:ilvl w:val="0"/>
                <w:numId w:val="2"/>
              </w:num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The configuration of signalling for side control information indication</w:t>
            </w:r>
          </w:p>
          <w:p>
            <w:pPr>
              <w:numPr>
                <w:ilvl w:val="1"/>
                <w:numId w:val="2"/>
              </w:num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NOTE: Down-selection of solutions in section 7.2 of TR 38.867 is needed</w:t>
            </w:r>
          </w:p>
          <w:p>
            <w:p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Specify the solution of network-controlled repeater management (i.e., the identification and authorization/validation of NCR) [RAN3, RAN2]</w:t>
            </w:r>
          </w:p>
          <w:p>
            <w:pPr>
              <w:numPr>
                <w:ilvl w:val="0"/>
                <w:numId w:val="2"/>
              </w:numPr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  <w:p>
            <w:pPr>
              <w:pStyle w:val="14"/>
              <w:spacing w:before="120" w:beforeLines="50" w:after="120" w:afterLines="50"/>
              <w:ind w:firstLine="0" w:firstLineChars="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Study the RRM functions to be supported and specify the RRM requirements of NCR-MT if necessary [RAN2, RAN4]</w:t>
            </w:r>
          </w:p>
          <w:p>
            <w:pPr>
              <w:pStyle w:val="14"/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Study and specify the RF and EMC requirements of NCR if necessary [RAN4]</w:t>
            </w:r>
          </w:p>
          <w:p>
            <w:pPr>
              <w:pStyle w:val="14"/>
              <w:spacing w:before="120" w:beforeLines="50" w:after="120" w:afterLines="50"/>
              <w:rPr>
                <w:rFonts w:ascii="Arial" w:hAnsi="Arial" w:eastAsia="宋体" w:cs="Arial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Note: The existing requirements defined in RAN4 can be reused if applicable.</w:t>
            </w:r>
          </w:p>
          <w:p>
            <w:pPr>
              <w:pStyle w:val="14"/>
              <w:spacing w:before="120" w:beforeLines="50" w:after="120" w:afterLines="50"/>
              <w:rPr>
                <w:rFonts w:ascii="Times New Roman" w:hAnsi="Times New Roman" w:eastAsia="宋体" w:cs="Times New Roman"/>
                <w:kern w:val="0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szCs w:val="21"/>
                <w:lang w:val="en-GB" w:eastAsia="en-GB"/>
              </w:rPr>
              <w:t>Note: The work in RAN4 for beam related is expected to start on FR2 first.</w:t>
            </w:r>
          </w:p>
        </w:tc>
      </w:tr>
    </w:tbl>
    <w:p>
      <w:pPr>
        <w:widowControl/>
        <w:spacing w:before="120" w:beforeLines="50" w:after="180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hint="eastAsia" w:ascii="Arial" w:hAnsi="Arial" w:eastAsia="宋体" w:cs="Arial"/>
          <w:kern w:val="0"/>
          <w:szCs w:val="21"/>
        </w:rPr>
        <w:t xml:space="preserve">As specified in </w:t>
      </w:r>
      <w:r>
        <w:rPr>
          <w:rFonts w:ascii="Arial" w:hAnsi="Arial" w:eastAsia="宋体" w:cs="Arial"/>
          <w:kern w:val="0"/>
          <w:szCs w:val="21"/>
          <w:lang w:val="en-GB"/>
        </w:rPr>
        <w:t xml:space="preserve">TR 38.876 [2], the modelling of network-controlled repeater </w:t>
      </w:r>
      <w:r>
        <w:rPr>
          <w:rFonts w:hint="eastAsia" w:ascii="Arial" w:hAnsi="Arial" w:eastAsia="宋体" w:cs="Arial"/>
          <w:kern w:val="0"/>
          <w:szCs w:val="21"/>
        </w:rPr>
        <w:t xml:space="preserve">which </w:t>
      </w:r>
      <w:r>
        <w:rPr>
          <w:rFonts w:ascii="Arial" w:hAnsi="Arial" w:eastAsia="宋体" w:cs="Arial"/>
          <w:kern w:val="0"/>
          <w:szCs w:val="21"/>
          <w:lang w:val="en-GB"/>
        </w:rPr>
        <w:t>includes the NCR-MT and NCR-Fwd</w:t>
      </w:r>
      <w:r>
        <w:rPr>
          <w:rFonts w:hint="eastAsia" w:ascii="Arial" w:hAnsi="Arial" w:eastAsia="宋体" w:cs="Arial"/>
          <w:kern w:val="0"/>
          <w:szCs w:val="21"/>
        </w:rPr>
        <w:t xml:space="preserve"> is</w:t>
      </w:r>
      <w:r>
        <w:rPr>
          <w:rFonts w:ascii="Arial" w:hAnsi="Arial" w:eastAsia="宋体" w:cs="Arial"/>
          <w:kern w:val="0"/>
          <w:szCs w:val="21"/>
          <w:lang w:val="en-GB"/>
        </w:rPr>
        <w:t xml:space="preserve"> </w:t>
      </w:r>
      <w:r>
        <w:rPr>
          <w:rFonts w:hint="eastAsia" w:ascii="Arial" w:hAnsi="Arial" w:eastAsia="宋体" w:cs="Arial"/>
          <w:kern w:val="0"/>
          <w:szCs w:val="21"/>
        </w:rPr>
        <w:t xml:space="preserve">shown </w:t>
      </w:r>
      <w:r>
        <w:rPr>
          <w:rFonts w:ascii="Arial" w:hAnsi="Arial" w:eastAsia="宋体" w:cs="Arial"/>
          <w:kern w:val="0"/>
          <w:szCs w:val="21"/>
          <w:lang w:val="en-GB"/>
        </w:rPr>
        <w:t>as Figure 1-1.</w:t>
      </w:r>
      <w:r>
        <w:rPr>
          <w:szCs w:val="21"/>
        </w:rPr>
        <w:t xml:space="preserve"> </w:t>
      </w:r>
      <w:r>
        <w:rPr>
          <w:rFonts w:ascii="Arial" w:hAnsi="Arial" w:eastAsia="宋体" w:cs="Arial"/>
          <w:kern w:val="0"/>
          <w:szCs w:val="21"/>
          <w:lang w:val="en-GB"/>
        </w:rPr>
        <w:t>The NCR-MT is defined as a function entity to communicate with a gNB via Control link (C-link) to enable the information exchanges (e.g. side control information at least for the control of NCR-Fwd). The C-link is based on NR Uu interface.</w:t>
      </w:r>
      <w:r>
        <w:rPr>
          <w:rFonts w:hint="eastAsia" w:ascii="Arial" w:hAnsi="Arial" w:eastAsia="宋体" w:cs="Arial"/>
          <w:kern w:val="0"/>
          <w:szCs w:val="21"/>
        </w:rPr>
        <w:t xml:space="preserve"> </w:t>
      </w:r>
      <w:r>
        <w:rPr>
          <w:rFonts w:ascii="Arial" w:hAnsi="Arial" w:eastAsia="宋体" w:cs="Arial"/>
          <w:kern w:val="0"/>
          <w:szCs w:val="21"/>
          <w:lang w:val="en-GB"/>
        </w:rPr>
        <w:t>The NCR-Fwd is defined as a function entity to perform the amplify-and-forwarding of UL/DL RF signal between gNB and UE via backhaul link and access link. The behaviour of the NCR-Fwd will be controlled according to the received side control information from gNB.</w:t>
      </w:r>
    </w:p>
    <w:p>
      <w:pPr>
        <w:pStyle w:val="12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eastAsia="ko-KR"/>
        </w:rPr>
        <w:drawing>
          <wp:inline distT="0" distB="0" distL="0" distR="0">
            <wp:extent cx="3745865" cy="9239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586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" w:hAnsi="Times" w:cs="Times"/>
          <w:color w:val="000000"/>
          <w:sz w:val="21"/>
          <w:szCs w:val="21"/>
        </w:rPr>
      </w:pPr>
      <w:bookmarkStart w:id="0" w:name="_Hlk110506759"/>
      <w:r>
        <w:rPr>
          <w:color w:val="000000"/>
          <w:sz w:val="21"/>
          <w:szCs w:val="21"/>
        </w:rPr>
        <w:t>Figure 1-1: Conceptual model of Network-controlled repeater</w:t>
      </w:r>
      <w:bookmarkEnd w:id="0"/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ascii="Arial" w:hAnsi="Arial" w:eastAsia="宋体" w:cs="Arial"/>
          <w:kern w:val="0"/>
          <w:szCs w:val="21"/>
          <w:lang w:val="en-GB"/>
        </w:rPr>
        <w:t xml:space="preserve">This contribution will discuss the </w:t>
      </w:r>
      <w:r>
        <w:rPr>
          <w:rFonts w:hint="eastAsia" w:ascii="Arial" w:hAnsi="Arial" w:eastAsia="宋体" w:cs="Arial"/>
          <w:kern w:val="0"/>
          <w:szCs w:val="21"/>
        </w:rPr>
        <w:t>signalling and procedure for side control information based on RAN1 progress</w:t>
      </w:r>
      <w:r>
        <w:rPr>
          <w:rFonts w:ascii="Arial" w:hAnsi="Arial" w:eastAsia="宋体" w:cs="Arial"/>
          <w:kern w:val="0"/>
          <w:szCs w:val="21"/>
          <w:lang w:val="en-GB"/>
        </w:rPr>
        <w:t>.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2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Discussion</w:t>
      </w:r>
    </w:p>
    <w:p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eastAsia="宋体" w:cs="Arial"/>
          <w:kern w:val="0"/>
          <w:sz w:val="32"/>
          <w:szCs w:val="20"/>
        </w:rPr>
      </w:pPr>
      <w:r>
        <w:rPr>
          <w:rFonts w:ascii="Arial" w:hAnsi="Arial" w:eastAsia="宋体" w:cs="Arial"/>
          <w:kern w:val="0"/>
          <w:sz w:val="32"/>
          <w:szCs w:val="20"/>
          <w:lang w:val="en-GB"/>
        </w:rPr>
        <w:t>2.1</w:t>
      </w:r>
      <w:r>
        <w:rPr>
          <w:rFonts w:ascii="Arial" w:hAnsi="Arial" w:eastAsia="宋体" w:cs="Arial"/>
          <w:kern w:val="0"/>
          <w:sz w:val="32"/>
          <w:szCs w:val="20"/>
          <w:lang w:val="en-GB"/>
        </w:rPr>
        <w:tab/>
      </w:r>
      <w:r>
        <w:rPr>
          <w:rFonts w:hint="eastAsia" w:ascii="Arial" w:hAnsi="Arial" w:eastAsia="宋体" w:cs="Arial"/>
          <w:kern w:val="0"/>
          <w:sz w:val="32"/>
          <w:szCs w:val="20"/>
        </w:rPr>
        <w:t>Configuration of signalling for side control information indication</w:t>
      </w:r>
    </w:p>
    <w:p>
      <w:pPr>
        <w:widowControl/>
        <w:spacing w:before="120" w:beforeLines="50" w:after="180"/>
        <w:rPr>
          <w:rFonts w:ascii="Arial" w:hAnsi="Arial" w:eastAsia="宋体" w:cs="Arial"/>
          <w:kern w:val="0"/>
          <w:szCs w:val="21"/>
        </w:rPr>
      </w:pPr>
      <w:r>
        <w:rPr>
          <w:rFonts w:hint="eastAsia" w:ascii="Arial" w:hAnsi="Arial" w:eastAsia="宋体" w:cs="Arial"/>
          <w:kern w:val="0"/>
          <w:szCs w:val="21"/>
        </w:rPr>
        <w:t xml:space="preserve">During the SI phase, RAN1 discussed the configuration of signalling for side control information indication, and proposed three potential solutions as specified in section 7.2 </w:t>
      </w:r>
      <w:r>
        <w:rPr>
          <w:rFonts w:ascii="Arial" w:hAnsi="Arial" w:cs="Arial"/>
          <w:szCs w:val="21"/>
        </w:rPr>
        <w:t>of TR 38.867</w:t>
      </w:r>
      <w:r>
        <w:rPr>
          <w:rFonts w:hint="eastAsia" w:ascii="Arial" w:hAnsi="Arial" w:cs="Arial"/>
          <w:szCs w:val="21"/>
        </w:rPr>
        <w:t xml:space="preserve"> [2], </w:t>
      </w:r>
      <w:r>
        <w:rPr>
          <w:rFonts w:hint="eastAsia" w:ascii="Arial" w:hAnsi="Arial" w:eastAsia="宋体" w:cs="Arial"/>
          <w:kern w:val="0"/>
          <w:szCs w:val="21"/>
        </w:rPr>
        <w:t xml:space="preserve">i.e. </w:t>
      </w:r>
      <w:r>
        <w:rPr>
          <w:rFonts w:ascii="Arial" w:hAnsi="Arial" w:eastAsia="宋体" w:cs="Arial"/>
          <w:kern w:val="0"/>
          <w:szCs w:val="21"/>
        </w:rPr>
        <w:t>RRC configuration, OAM or hard-coded, and the combination of RRC and OAM or hard</w:t>
      </w:r>
      <w:r>
        <w:rPr>
          <w:rFonts w:hint="eastAsia" w:ascii="Arial" w:hAnsi="Arial" w:eastAsia="宋体" w:cs="Arial"/>
          <w:kern w:val="0"/>
          <w:szCs w:val="21"/>
        </w:rPr>
        <w:t>-</w:t>
      </w:r>
      <w:r>
        <w:rPr>
          <w:rFonts w:ascii="Arial" w:hAnsi="Arial" w:eastAsia="宋体" w:cs="Arial"/>
          <w:kern w:val="0"/>
          <w:szCs w:val="21"/>
        </w:rPr>
        <w:t>coded</w:t>
      </w:r>
      <w:r>
        <w:rPr>
          <w:rFonts w:hint="eastAsia" w:ascii="Arial" w:hAnsi="Arial" w:eastAsia="宋体" w:cs="Arial"/>
          <w:kern w:val="0"/>
          <w:szCs w:val="21"/>
        </w:rPr>
        <w:t>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pStyle w:val="3"/>
              <w:outlineLvl w:val="1"/>
              <w:rPr>
                <w:color w:val="000000"/>
              </w:rPr>
            </w:pPr>
            <w:bookmarkStart w:id="1" w:name="_Toc113043638"/>
            <w:r>
              <w:rPr>
                <w:color w:val="000000"/>
              </w:rPr>
              <w:t>7.2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Configuration of signalling</w:t>
            </w:r>
            <w:bookmarkEnd w:id="1"/>
            <w:r>
              <w:rPr>
                <w:color w:val="000000"/>
              </w:rPr>
              <w:t xml:space="preserve"> </w:t>
            </w:r>
          </w:p>
          <w:p>
            <w:pPr>
              <w:rPr>
                <w:rFonts w:ascii="Arial" w:hAnsi="Arial" w:eastAsia="宋体" w:cs="Arial"/>
                <w:color w:val="000000"/>
                <w:lang w:val="en-GB" w:eastAsia="en-GB"/>
              </w:rPr>
            </w:pPr>
            <w:r>
              <w:rPr>
                <w:rFonts w:ascii="Arial" w:hAnsi="Arial" w:eastAsia="宋体" w:cs="Arial"/>
                <w:color w:val="000000"/>
                <w:lang w:val="en-GB" w:eastAsia="en-GB"/>
              </w:rPr>
              <w:t>For the configuration of signalling, the NCR-MT can obtain the necessary configuration for receiving the L1/L2 signaling of the side control information.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 w:cs="Arial"/>
                <w:color w:val="000000"/>
                <w:lang w:val="en-GB" w:eastAsia="en-GB"/>
              </w:rPr>
            </w:pPr>
            <w:r>
              <w:rPr>
                <w:rFonts w:ascii="Arial" w:hAnsi="Arial" w:eastAsia="宋体" w:cs="Arial"/>
                <w:color w:val="000000"/>
                <w:lang w:val="en-GB" w:eastAsia="en-GB"/>
              </w:rPr>
              <w:t>Option 1: The necessary configuration is from RRC.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 w:cs="Arial"/>
                <w:color w:val="000000"/>
                <w:lang w:val="en-GB" w:eastAsia="en-GB"/>
              </w:rPr>
            </w:pPr>
            <w:r>
              <w:rPr>
                <w:rFonts w:ascii="Arial" w:hAnsi="Arial" w:eastAsia="宋体" w:cs="Arial"/>
                <w:color w:val="000000"/>
                <w:lang w:val="en-GB" w:eastAsia="en-GB"/>
              </w:rPr>
              <w:t>Option 2: The necessary configuration is from OAM or hard-coded.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 w:cs="Arial"/>
                <w:color w:val="000000"/>
                <w:lang w:val="en-GB" w:eastAsia="en-GB"/>
              </w:rPr>
            </w:pPr>
            <w:r>
              <w:rPr>
                <w:rFonts w:ascii="Arial" w:hAnsi="Arial" w:eastAsia="宋体" w:cs="Arial"/>
                <w:color w:val="000000"/>
                <w:lang w:val="en-GB" w:eastAsia="en-GB"/>
              </w:rPr>
              <w:t>Option 3: The necessary configuration is partially configured by RRC and partially configured by OAM or hard-coded.</w:t>
            </w:r>
          </w:p>
          <w:p>
            <w:pPr>
              <w:spacing w:before="120" w:beforeLines="50"/>
              <w:rPr>
                <w:rFonts w:ascii="Arial" w:hAnsi="Arial" w:eastAsia="Malgun Gothic" w:cs="Arial"/>
                <w:iCs/>
                <w:color w:val="000000"/>
                <w:lang w:val="en-GB" w:eastAsia="ko-KR"/>
              </w:rPr>
            </w:pPr>
            <w:r>
              <w:rPr>
                <w:rFonts w:ascii="Arial" w:hAnsi="Arial" w:eastAsia="宋体" w:cs="Arial"/>
                <w:color w:val="000000"/>
                <w:lang w:val="en-GB" w:eastAsia="en-GB"/>
              </w:rPr>
              <w:t>T</w:t>
            </w:r>
            <w:r>
              <w:rPr>
                <w:rFonts w:ascii="Arial" w:hAnsi="Arial" w:eastAsia="宋体" w:cs="Arial"/>
                <w:iCs/>
                <w:color w:val="000000"/>
                <w:lang w:val="en-GB" w:eastAsia="en-GB"/>
              </w:rPr>
              <w:t>he necessary configurations from RRC and/or OAM (or hard-coded) contain:</w:t>
            </w:r>
          </w:p>
          <w:p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textAlignment w:val="baseline"/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</w:pPr>
            <w:r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  <w:t xml:space="preserve">The configurations of PHY channels to carry the L1/L2 signaling including 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textAlignment w:val="baseline"/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</w:pPr>
            <w:r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  <w:t>The configurations for receiving PDCCH and PDSCH.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textAlignment w:val="baseline"/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</w:pPr>
            <w:r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  <w:t>The configurations for transmitting PUCCH, if needed.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textAlignment w:val="baseline"/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</w:pPr>
            <w:r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  <w:t>The configurations for transmitting PUSCH, if needed.</w:t>
            </w:r>
          </w:p>
          <w:p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textAlignment w:val="baseline"/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</w:pPr>
            <w:r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  <w:t>The configurations of L1/L2 signaling including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textAlignment w:val="baseline"/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</w:pPr>
            <w:r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  <w:t>The configurations for DCI.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textAlignment w:val="baseline"/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</w:pPr>
            <w:r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  <w:t>The configurations for UCI, if needed.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textAlignment w:val="baseline"/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</w:pPr>
            <w:r>
              <w:rPr>
                <w:rFonts w:ascii="Arial" w:hAnsi="Arial" w:eastAsia="Times New Roman" w:cs="Arial"/>
                <w:iCs/>
                <w:color w:val="000000"/>
                <w:lang w:val="en-GB" w:eastAsia="en-GB"/>
              </w:rPr>
              <w:t>The configurations for MAC CE, if needed.</w:t>
            </w:r>
          </w:p>
          <w:p>
            <w:pPr>
              <w:spacing w:before="120" w:beforeLines="50"/>
              <w:rPr>
                <w:rFonts w:ascii="Arial" w:hAnsi="Arial" w:eastAsia="宋体" w:cs="Arial"/>
                <w:kern w:val="0"/>
                <w:szCs w:val="21"/>
                <w:lang w:val="en-GB" w:eastAsia="en-GB"/>
              </w:rPr>
            </w:pPr>
            <w:r>
              <w:rPr>
                <w:rFonts w:ascii="Arial" w:hAnsi="Arial" w:eastAsia="宋体" w:cs="Arial"/>
                <w:iCs/>
                <w:color w:val="000000"/>
                <w:lang w:val="en-GB" w:eastAsia="en-GB"/>
              </w:rPr>
              <w:t xml:space="preserve">For the parameters in the necessary configurations for L1/L2 signaling, the existing parameters for PDCCH, PDSCH, PUCCH, PUSCH, DCI, UCI and MAC CE in Rel-17 are the baseline for further discussion. </w:t>
            </w:r>
          </w:p>
        </w:tc>
      </w:tr>
    </w:tbl>
    <w:p>
      <w:pPr>
        <w:widowControl/>
        <w:spacing w:before="120" w:beforeLines="50" w:after="180"/>
        <w:rPr>
          <w:rFonts w:ascii="Arial" w:hAnsi="Arial" w:eastAsia="宋体" w:cs="Arial"/>
          <w:kern w:val="0"/>
          <w:szCs w:val="21"/>
        </w:rPr>
      </w:pPr>
      <w:r>
        <w:rPr>
          <w:rFonts w:ascii="Arial" w:hAnsi="Arial" w:eastAsia="宋体" w:cs="Arial"/>
          <w:kern w:val="0"/>
          <w:szCs w:val="21"/>
        </w:rPr>
        <w:t>Among the three options, Option 1 has the most specification impacts</w:t>
      </w:r>
      <w:r>
        <w:rPr>
          <w:rFonts w:hint="eastAsia" w:ascii="Arial" w:hAnsi="Arial" w:eastAsia="宋体" w:cs="Arial"/>
          <w:kern w:val="0"/>
          <w:szCs w:val="21"/>
        </w:rPr>
        <w:t>,</w:t>
      </w:r>
      <w:r>
        <w:rPr>
          <w:rFonts w:ascii="Arial" w:hAnsi="Arial" w:eastAsia="宋体" w:cs="Arial"/>
          <w:kern w:val="0"/>
          <w:szCs w:val="21"/>
        </w:rPr>
        <w:t xml:space="preserve"> </w:t>
      </w:r>
      <w:r>
        <w:rPr>
          <w:rFonts w:hint="eastAsia" w:ascii="Arial" w:hAnsi="Arial" w:eastAsia="宋体" w:cs="Arial"/>
          <w:kern w:val="0"/>
          <w:szCs w:val="21"/>
        </w:rPr>
        <w:t>a</w:t>
      </w:r>
      <w:r>
        <w:rPr>
          <w:rFonts w:ascii="Arial" w:hAnsi="Arial" w:eastAsia="宋体" w:cs="Arial"/>
          <w:kern w:val="0"/>
          <w:szCs w:val="21"/>
        </w:rPr>
        <w:t xml:space="preserve">nd Option 2 has less </w:t>
      </w:r>
      <w:r>
        <w:rPr>
          <w:rFonts w:hint="eastAsia" w:ascii="Arial" w:hAnsi="Arial" w:eastAsia="宋体" w:cs="Arial"/>
          <w:kern w:val="0"/>
          <w:szCs w:val="21"/>
        </w:rPr>
        <w:t>spec</w:t>
      </w:r>
      <w:r>
        <w:rPr>
          <w:rFonts w:ascii="Arial" w:hAnsi="Arial" w:eastAsia="宋体" w:cs="Arial"/>
          <w:kern w:val="0"/>
          <w:szCs w:val="21"/>
        </w:rPr>
        <w:t xml:space="preserve"> impact and some of the functions </w:t>
      </w:r>
      <w:r>
        <w:rPr>
          <w:rFonts w:hint="eastAsia" w:ascii="Arial" w:hAnsi="Arial" w:eastAsia="宋体" w:cs="Arial"/>
          <w:kern w:val="0"/>
          <w:szCs w:val="21"/>
        </w:rPr>
        <w:t>are up to the</w:t>
      </w:r>
      <w:r>
        <w:rPr>
          <w:rFonts w:ascii="Arial" w:hAnsi="Arial" w:eastAsia="宋体" w:cs="Arial"/>
          <w:kern w:val="0"/>
          <w:szCs w:val="21"/>
        </w:rPr>
        <w:t xml:space="preserve"> </w:t>
      </w:r>
      <w:r>
        <w:rPr>
          <w:rFonts w:hint="eastAsia" w:ascii="Arial" w:hAnsi="Arial" w:eastAsia="宋体" w:cs="Arial"/>
          <w:kern w:val="0"/>
          <w:szCs w:val="21"/>
        </w:rPr>
        <w:t>implementation</w:t>
      </w:r>
      <w:r>
        <w:rPr>
          <w:rFonts w:ascii="Arial" w:hAnsi="Arial" w:eastAsia="宋体" w:cs="Arial"/>
          <w:kern w:val="0"/>
          <w:szCs w:val="21"/>
        </w:rPr>
        <w:t xml:space="preserve">. </w:t>
      </w:r>
      <w:r>
        <w:rPr>
          <w:rFonts w:hint="eastAsia" w:ascii="Arial" w:hAnsi="Arial" w:eastAsia="宋体" w:cs="Arial"/>
          <w:kern w:val="0"/>
          <w:szCs w:val="21"/>
        </w:rPr>
        <w:t xml:space="preserve">In </w:t>
      </w:r>
      <w:r>
        <w:rPr>
          <w:rFonts w:ascii="Arial" w:hAnsi="Arial" w:eastAsia="宋体" w:cs="Arial"/>
          <w:kern w:val="0"/>
          <w:szCs w:val="21"/>
        </w:rPr>
        <w:t>our understanding, Option 1 should be prioritized for the further study</w:t>
      </w:r>
      <w:r>
        <w:rPr>
          <w:rFonts w:hint="eastAsia" w:ascii="Arial" w:hAnsi="Arial" w:eastAsia="宋体" w:cs="Arial"/>
          <w:kern w:val="0"/>
          <w:szCs w:val="21"/>
        </w:rPr>
        <w:t>, s</w:t>
      </w:r>
      <w:r>
        <w:rPr>
          <w:rFonts w:ascii="Arial" w:hAnsi="Arial" w:eastAsia="宋体" w:cs="Arial"/>
          <w:kern w:val="0"/>
          <w:szCs w:val="21"/>
        </w:rPr>
        <w:t>ince the necessary configurations that identified for the RRC configuration could facilitate the study and implementation of the O</w:t>
      </w:r>
      <w:r>
        <w:rPr>
          <w:rFonts w:hint="eastAsia" w:ascii="Arial" w:hAnsi="Arial" w:eastAsia="宋体" w:cs="Arial"/>
          <w:kern w:val="0"/>
          <w:szCs w:val="21"/>
        </w:rPr>
        <w:t>AM</w:t>
      </w:r>
      <w:r>
        <w:rPr>
          <w:rFonts w:ascii="Arial" w:hAnsi="Arial" w:eastAsia="宋体" w:cs="Arial"/>
          <w:kern w:val="0"/>
          <w:szCs w:val="21"/>
        </w:rPr>
        <w:t xml:space="preserve"> and the hard-coded mechanisms.</w:t>
      </w:r>
      <w:r>
        <w:rPr>
          <w:rFonts w:hint="eastAsia" w:ascii="Arial" w:hAnsi="Arial" w:eastAsia="宋体" w:cs="Arial"/>
          <w:kern w:val="0"/>
          <w:szCs w:val="21"/>
        </w:rPr>
        <w:t xml:space="preserve"> And the details (e.g. RRC parameters) can wait for RAN1</w:t>
      </w:r>
      <w:r>
        <w:rPr>
          <w:rFonts w:ascii="Arial" w:hAnsi="Arial" w:eastAsia="宋体" w:cs="Arial"/>
          <w:kern w:val="0"/>
          <w:szCs w:val="21"/>
        </w:rPr>
        <w:t>’</w:t>
      </w:r>
      <w:r>
        <w:rPr>
          <w:rFonts w:hint="eastAsia" w:ascii="Arial" w:hAnsi="Arial" w:eastAsia="宋体" w:cs="Arial"/>
          <w:kern w:val="0"/>
          <w:szCs w:val="21"/>
        </w:rPr>
        <w:t>s progress</w:t>
      </w:r>
      <w:r>
        <w:rPr>
          <w:rFonts w:ascii="Arial" w:hAnsi="Arial" w:eastAsia="宋体" w:cs="Arial"/>
          <w:kern w:val="0"/>
          <w:szCs w:val="21"/>
        </w:rPr>
        <w:t xml:space="preserve">.  </w:t>
      </w:r>
    </w:p>
    <w:p>
      <w:pPr>
        <w:widowControl/>
        <w:spacing w:before="120" w:beforeLines="50" w:after="180"/>
        <w:rPr>
          <w:rFonts w:ascii="Arial" w:hAnsi="Arial" w:eastAsia="宋体" w:cs="Arial"/>
          <w:b/>
          <w:bCs/>
          <w:kern w:val="0"/>
          <w:szCs w:val="21"/>
        </w:rPr>
      </w:pPr>
      <w:r>
        <w:rPr>
          <w:rFonts w:ascii="Arial" w:hAnsi="Arial" w:eastAsia="宋体" w:cs="Arial"/>
          <w:b/>
          <w:bCs/>
          <w:kern w:val="0"/>
          <w:szCs w:val="21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1</w:t>
      </w:r>
      <w:r>
        <w:rPr>
          <w:rFonts w:ascii="Arial" w:hAnsi="Arial" w:eastAsia="宋体" w:cs="Arial"/>
          <w:b/>
          <w:bCs/>
          <w:kern w:val="0"/>
          <w:szCs w:val="21"/>
        </w:rPr>
        <w:t>: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 </w:t>
      </w:r>
      <w:r>
        <w:rPr>
          <w:rFonts w:ascii="Arial" w:hAnsi="Arial" w:eastAsia="宋体" w:cs="Arial"/>
          <w:b/>
          <w:bCs/>
          <w:kern w:val="0"/>
          <w:szCs w:val="21"/>
        </w:rPr>
        <w:t>RRC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 </w:t>
      </w:r>
      <w:r>
        <w:rPr>
          <w:rFonts w:ascii="Arial" w:hAnsi="Arial" w:eastAsia="宋体" w:cs="Arial"/>
          <w:b/>
          <w:bCs/>
          <w:kern w:val="0"/>
          <w:szCs w:val="21"/>
        </w:rPr>
        <w:t xml:space="preserve">based mechanism should be prioritized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to provide the necessary configuration for receiving the L1/L2 signaling of the side control information</w:t>
      </w:r>
      <w:r>
        <w:rPr>
          <w:rFonts w:ascii="Arial" w:hAnsi="Arial" w:eastAsia="宋体" w:cs="Arial"/>
          <w:b/>
          <w:bCs/>
          <w:kern w:val="0"/>
          <w:szCs w:val="21"/>
        </w:rPr>
        <w:t>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 w:val="20"/>
          <w:szCs w:val="20"/>
          <w:lang w:val="en-GB"/>
        </w:rPr>
      </w:pPr>
    </w:p>
    <w:p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eastAsia="宋体" w:cs="Arial"/>
          <w:kern w:val="0"/>
          <w:sz w:val="32"/>
          <w:szCs w:val="20"/>
        </w:rPr>
      </w:pPr>
      <w:r>
        <w:rPr>
          <w:rFonts w:ascii="Arial" w:hAnsi="Arial" w:eastAsia="宋体" w:cs="Arial"/>
          <w:kern w:val="0"/>
          <w:sz w:val="32"/>
          <w:szCs w:val="20"/>
          <w:lang w:val="en-GB" w:eastAsia="en-US"/>
        </w:rPr>
        <w:t>2.2</w:t>
      </w:r>
      <w:r>
        <w:rPr>
          <w:rFonts w:ascii="Arial" w:hAnsi="Arial" w:eastAsia="宋体" w:cs="Arial"/>
          <w:kern w:val="0"/>
          <w:sz w:val="32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kern w:val="0"/>
          <w:sz w:val="32"/>
          <w:szCs w:val="20"/>
        </w:rPr>
        <w:t>Other RRC aspects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u w:val="single"/>
        </w:rPr>
      </w:pPr>
      <w:r>
        <w:rPr>
          <w:rFonts w:hint="eastAsia" w:ascii="Arial" w:hAnsi="Arial" w:eastAsia="宋体" w:cs="Arial"/>
          <w:b/>
          <w:bCs/>
          <w:kern w:val="0"/>
          <w:szCs w:val="21"/>
          <w:u w:val="single"/>
        </w:rPr>
        <w:t>Applicable RRC state: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</w:rPr>
      </w:pPr>
      <w:r>
        <w:rPr>
          <w:rFonts w:ascii="Arial" w:hAnsi="Arial" w:eastAsia="宋体" w:cs="Arial"/>
          <w:kern w:val="0"/>
          <w:szCs w:val="21"/>
        </w:rPr>
        <w:t xml:space="preserve">The </w:t>
      </w:r>
      <w:r>
        <w:rPr>
          <w:rFonts w:hint="eastAsia" w:ascii="Arial" w:hAnsi="Arial" w:eastAsia="宋体" w:cs="Arial"/>
          <w:kern w:val="0"/>
          <w:szCs w:val="21"/>
        </w:rPr>
        <w:t>N</w:t>
      </w:r>
      <w:r>
        <w:rPr>
          <w:rFonts w:ascii="Arial" w:hAnsi="Arial" w:eastAsia="宋体" w:cs="Arial"/>
          <w:kern w:val="0"/>
          <w:szCs w:val="21"/>
        </w:rPr>
        <w:t xml:space="preserve">CR-MT is similar </w:t>
      </w:r>
      <w:r>
        <w:rPr>
          <w:rFonts w:hint="eastAsia" w:ascii="Arial" w:hAnsi="Arial" w:eastAsia="宋体" w:cs="Arial"/>
          <w:kern w:val="0"/>
          <w:szCs w:val="21"/>
        </w:rPr>
        <w:t>to</w:t>
      </w:r>
      <w:r>
        <w:rPr>
          <w:rFonts w:ascii="Arial" w:hAnsi="Arial" w:eastAsia="宋体" w:cs="Arial"/>
          <w:kern w:val="0"/>
          <w:szCs w:val="21"/>
        </w:rPr>
        <w:t xml:space="preserve"> IAB-</w:t>
      </w:r>
      <w:r>
        <w:rPr>
          <w:rFonts w:hint="eastAsia" w:ascii="Arial" w:hAnsi="Arial" w:eastAsia="宋体" w:cs="Arial"/>
          <w:kern w:val="0"/>
          <w:szCs w:val="21"/>
        </w:rPr>
        <w:t>MT</w:t>
      </w:r>
      <w:r>
        <w:rPr>
          <w:rFonts w:ascii="Arial" w:hAnsi="Arial" w:eastAsia="宋体" w:cs="Arial"/>
          <w:kern w:val="0"/>
          <w:szCs w:val="21"/>
        </w:rPr>
        <w:t xml:space="preserve"> which is the same as normal UE and can reuse the procedures of the normal UE</w:t>
      </w:r>
      <w:r>
        <w:rPr>
          <w:rFonts w:hint="eastAsia" w:ascii="Arial" w:hAnsi="Arial" w:eastAsia="宋体" w:cs="Arial"/>
          <w:kern w:val="0"/>
          <w:szCs w:val="21"/>
        </w:rPr>
        <w:t>. Therefore, the RRC states (i.e. RRC_IDLE, RRC_INACTIVE, RRC_CONNECTED) supported by IAB-MT/normal UE should also be supported by NCR-MT. And there is no impacts on specification.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</w:rPr>
      </w:pPr>
      <w:r>
        <w:rPr>
          <w:rFonts w:hint="eastAsia" w:ascii="Arial" w:hAnsi="Arial" w:eastAsia="宋体" w:cs="Arial"/>
          <w:b/>
          <w:bCs/>
          <w:kern w:val="0"/>
          <w:szCs w:val="21"/>
        </w:rPr>
        <w:t>Proposal 2: All RRC states should be supported by NCR-MT. No additional spec impact is needed.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</w:rPr>
      </w:pP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u w:val="single"/>
        </w:rPr>
      </w:pPr>
      <w:r>
        <w:rPr>
          <w:rFonts w:hint="eastAsia" w:ascii="Arial" w:hAnsi="Arial" w:eastAsia="宋体" w:cs="Arial"/>
          <w:b/>
          <w:bCs/>
          <w:kern w:val="0"/>
          <w:szCs w:val="21"/>
          <w:u w:val="single"/>
        </w:rPr>
        <w:t>NCR support indication in SIB: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hint="eastAsia" w:ascii="Arial" w:hAnsi="Arial" w:eastAsia="宋体" w:cs="Arial"/>
          <w:kern w:val="0"/>
          <w:szCs w:val="21"/>
          <w:lang w:val="en-GB"/>
        </w:rPr>
        <w:t>Based on t</w:t>
      </w:r>
      <w:r>
        <w:rPr>
          <w:rFonts w:hint="eastAsia" w:ascii="Arial" w:hAnsi="Arial" w:eastAsia="宋体" w:cs="Arial"/>
          <w:kern w:val="0"/>
          <w:szCs w:val="21"/>
        </w:rPr>
        <w:t>he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model</w:t>
      </w:r>
      <w:r>
        <w:rPr>
          <w:rFonts w:hint="eastAsia" w:ascii="Arial" w:hAnsi="Arial" w:eastAsia="宋体" w:cs="Arial"/>
          <w:kern w:val="0"/>
          <w:szCs w:val="21"/>
        </w:rPr>
        <w:t xml:space="preserve"> of NCR as shown in Figure 1-1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, </w:t>
      </w:r>
      <w:r>
        <w:rPr>
          <w:rFonts w:hint="eastAsia" w:ascii="Arial" w:hAnsi="Arial" w:eastAsia="宋体" w:cs="Arial"/>
          <w:kern w:val="0"/>
          <w:szCs w:val="21"/>
        </w:rPr>
        <w:t>t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he NCR-MT </w:t>
      </w:r>
      <w:r>
        <w:rPr>
          <w:rFonts w:hint="eastAsia" w:ascii="Arial" w:hAnsi="Arial" w:eastAsia="宋体" w:cs="Arial"/>
          <w:kern w:val="0"/>
          <w:szCs w:val="21"/>
        </w:rPr>
        <w:t>can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communicate with a gNB via Control link (C-link) to enable the information exchanges (e.g. side control information).</w:t>
      </w:r>
      <w:r>
        <w:rPr>
          <w:rFonts w:hint="eastAsia" w:ascii="Arial" w:hAnsi="Arial" w:eastAsia="宋体" w:cs="Arial"/>
          <w:kern w:val="0"/>
          <w:szCs w:val="21"/>
        </w:rPr>
        <w:t xml:space="preserve"> Thus, 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the gNB should be equipped with associated function to support the NCR operation and the NCR node should select the gNB </w:t>
      </w:r>
      <w:r>
        <w:rPr>
          <w:rFonts w:hint="eastAsia" w:ascii="Arial" w:hAnsi="Arial" w:eastAsia="宋体" w:cs="Arial"/>
          <w:kern w:val="0"/>
          <w:szCs w:val="21"/>
        </w:rPr>
        <w:t>which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support</w:t>
      </w:r>
      <w:r>
        <w:rPr>
          <w:rFonts w:hint="eastAsia" w:ascii="Arial" w:hAnsi="Arial" w:eastAsia="宋体" w:cs="Arial"/>
          <w:kern w:val="0"/>
          <w:szCs w:val="21"/>
        </w:rPr>
        <w:t>s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the NCR operation. Similar to IAB</w:t>
      </w:r>
      <w:r>
        <w:rPr>
          <w:rFonts w:hint="eastAsia" w:ascii="Arial" w:hAnsi="Arial" w:eastAsia="宋体" w:cs="Arial"/>
          <w:kern w:val="0"/>
          <w:szCs w:val="21"/>
        </w:rPr>
        <w:t xml:space="preserve"> </w:t>
      </w:r>
      <w:r>
        <w:rPr>
          <w:rFonts w:hint="eastAsia" w:ascii="Arial" w:hAnsi="Arial" w:eastAsia="宋体" w:cs="Arial"/>
          <w:kern w:val="0"/>
          <w:szCs w:val="21"/>
          <w:lang w:val="en-GB"/>
        </w:rPr>
        <w:t>support</w:t>
      </w:r>
      <w:r>
        <w:rPr>
          <w:rFonts w:hint="eastAsia" w:ascii="Arial" w:hAnsi="Arial" w:eastAsia="宋体" w:cs="Arial"/>
          <w:kern w:val="0"/>
          <w:szCs w:val="21"/>
        </w:rPr>
        <w:t xml:space="preserve"> indication (</w:t>
      </w:r>
      <w:r>
        <w:rPr>
          <w:rFonts w:hint="eastAsia" w:ascii="Arial" w:hAnsi="Arial" w:eastAsia="宋体" w:cs="Arial"/>
          <w:i/>
          <w:iCs/>
          <w:kern w:val="0"/>
          <w:szCs w:val="21"/>
        </w:rPr>
        <w:t>iab-Support</w:t>
      </w:r>
      <w:r>
        <w:rPr>
          <w:rFonts w:hint="eastAsia" w:ascii="Arial" w:hAnsi="Arial" w:eastAsia="宋体" w:cs="Arial"/>
          <w:kern w:val="0"/>
          <w:szCs w:val="21"/>
        </w:rPr>
        <w:t xml:space="preserve"> per PLMN/SNPN in SIB1)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[3], the gNB may broadcast a NCR </w:t>
      </w:r>
      <w:r>
        <w:rPr>
          <w:rFonts w:hint="eastAsia" w:ascii="Arial" w:hAnsi="Arial" w:eastAsia="宋体" w:cs="Arial"/>
          <w:kern w:val="0"/>
          <w:szCs w:val="21"/>
        </w:rPr>
        <w:t>s</w:t>
      </w:r>
      <w:r>
        <w:rPr>
          <w:rFonts w:hint="eastAsia" w:ascii="Arial" w:hAnsi="Arial" w:eastAsia="宋体" w:cs="Arial"/>
          <w:kern w:val="0"/>
          <w:szCs w:val="21"/>
          <w:lang w:val="en-GB"/>
        </w:rPr>
        <w:t>upport indicati</w:t>
      </w:r>
      <w:r>
        <w:rPr>
          <w:rFonts w:hint="eastAsia" w:ascii="Arial" w:hAnsi="Arial" w:eastAsia="宋体" w:cs="Arial"/>
          <w:kern w:val="0"/>
          <w:szCs w:val="21"/>
        </w:rPr>
        <w:t>on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in </w:t>
      </w:r>
      <w:r>
        <w:rPr>
          <w:rFonts w:hint="eastAsia" w:ascii="Arial" w:hAnsi="Arial" w:eastAsia="宋体" w:cs="Arial"/>
          <w:kern w:val="0"/>
          <w:szCs w:val="21"/>
        </w:rPr>
        <w:t xml:space="preserve">system message (e.g. </w:t>
      </w:r>
      <w:r>
        <w:rPr>
          <w:rFonts w:hint="eastAsia" w:ascii="Arial" w:hAnsi="Arial" w:eastAsia="宋体" w:cs="Arial"/>
          <w:kern w:val="0"/>
          <w:szCs w:val="21"/>
          <w:lang w:val="en-GB"/>
        </w:rPr>
        <w:t>SIB1</w:t>
      </w:r>
      <w:r>
        <w:rPr>
          <w:rFonts w:hint="eastAsia" w:ascii="Arial" w:hAnsi="Arial" w:eastAsia="宋体" w:cs="Arial"/>
          <w:kern w:val="0"/>
          <w:szCs w:val="21"/>
        </w:rPr>
        <w:t>)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, so that an NCR node can find a gNB that supports NCR </w:t>
      </w:r>
      <w:r>
        <w:rPr>
          <w:rFonts w:hint="eastAsia" w:ascii="Arial" w:hAnsi="Arial" w:eastAsia="宋体" w:cs="Arial"/>
          <w:kern w:val="0"/>
          <w:szCs w:val="21"/>
        </w:rPr>
        <w:t>operation</w:t>
      </w:r>
      <w:r>
        <w:rPr>
          <w:rFonts w:hint="eastAsia" w:ascii="Arial" w:hAnsi="Arial" w:eastAsia="宋体" w:cs="Arial"/>
          <w:kern w:val="0"/>
          <w:szCs w:val="21"/>
          <w:lang w:val="en-GB"/>
        </w:rPr>
        <w:t>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3: RAN2 to introduce a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NCR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support indication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 in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 SIB1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lang w:val="en-GB"/>
        </w:rPr>
      </w:pP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u w:val="single"/>
        </w:rPr>
      </w:pPr>
      <w:r>
        <w:rPr>
          <w:rFonts w:hint="eastAsia" w:ascii="Arial" w:hAnsi="Arial" w:eastAsia="宋体" w:cs="Arial"/>
          <w:b/>
          <w:bCs/>
          <w:kern w:val="0"/>
          <w:szCs w:val="21"/>
          <w:u w:val="single"/>
        </w:rPr>
        <w:t>SRB/DRB support: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hint="eastAsia" w:ascii="Arial" w:hAnsi="Arial" w:eastAsia="宋体" w:cs="Arial"/>
          <w:kern w:val="0"/>
          <w:szCs w:val="21"/>
        </w:rPr>
        <w:t>As specified in TS 38.300 [4], t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he IAB-MT </w:t>
      </w:r>
      <w:r>
        <w:rPr>
          <w:rFonts w:hint="eastAsia" w:ascii="Arial" w:hAnsi="Arial" w:eastAsia="宋体" w:cs="Arial"/>
          <w:kern w:val="0"/>
          <w:szCs w:val="21"/>
        </w:rPr>
        <w:t>supports both SRB and DRB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.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widowControl/>
              <w:spacing w:after="180"/>
              <w:rPr>
                <w:rFonts w:ascii="Arial" w:hAnsi="Arial" w:eastAsia="宋体" w:cs="Arial"/>
                <w:kern w:val="0"/>
                <w:szCs w:val="21"/>
                <w:lang w:val="en-GB" w:eastAsia="en-GB"/>
              </w:rPr>
            </w:pPr>
            <w:r>
              <w:rPr>
                <w:rFonts w:hint="eastAsia" w:ascii="Arial" w:hAnsi="Arial" w:eastAsia="宋体" w:cs="Arial"/>
                <w:kern w:val="0"/>
                <w:szCs w:val="21"/>
                <w:lang w:val="en-GB" w:eastAsia="en-GB"/>
              </w:rPr>
              <w:t xml:space="preserve">The IAB-MT further establishes SRBs (carrying RRC and NAS) with the IAB-donor-CU. For IAB-nodes operating in EN-DC, the IAB-MT establishes one or more DRBs with the eNB and one or more DRBs with the IAB-donor-CU, which can be used, e.g., to carry OAM traffic. For SA mode, the establishment of DRBs is optional. These SRBs and DRBs are transported between the IAB-MT and its parent node over Uu access channel(s). </w:t>
            </w:r>
          </w:p>
        </w:tc>
      </w:tr>
    </w:tbl>
    <w:p>
      <w:pPr>
        <w:widowControl/>
        <w:spacing w:before="120" w:beforeLines="50" w:after="180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The same principle </w:t>
      </w:r>
      <w:r>
        <w:rPr>
          <w:rFonts w:hint="eastAsia" w:ascii="Arial" w:hAnsi="Arial" w:eastAsia="宋体" w:cs="Arial"/>
          <w:kern w:val="0"/>
          <w:szCs w:val="21"/>
        </w:rPr>
        <w:t>can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be applied to the NCR-MT since NCR may implement the OAM functionality. Therefore, the NCR-MT should support not only SRB (e.g., for the side control information, RRC configuration and NAS connection) but also DRB (i.e., for </w:t>
      </w:r>
      <w:r>
        <w:rPr>
          <w:rFonts w:hint="eastAsia" w:ascii="Arial" w:hAnsi="Arial" w:eastAsia="宋体" w:cs="Arial"/>
          <w:kern w:val="0"/>
          <w:szCs w:val="21"/>
        </w:rPr>
        <w:t xml:space="preserve">OAM 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traffic), </w:t>
      </w:r>
      <w:r>
        <w:rPr>
          <w:rFonts w:hint="eastAsia" w:ascii="Arial" w:hAnsi="Arial" w:eastAsia="宋体" w:cs="Arial"/>
          <w:kern w:val="0"/>
          <w:szCs w:val="21"/>
        </w:rPr>
        <w:t>and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the establishment of DRB may be optional. 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4: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NCR-MT supports both SRB and DRB</w:t>
      </w:r>
      <w:r>
        <w:rPr>
          <w:rFonts w:ascii="Arial" w:hAnsi="Arial" w:eastAsia="宋体" w:cs="Arial"/>
          <w:b/>
          <w:bCs/>
          <w:kern w:val="0"/>
          <w:szCs w:val="21"/>
          <w:lang w:val="en-GB"/>
        </w:rPr>
        <w:t>, no spec impact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. 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lang w:val="en-GB"/>
        </w:rPr>
      </w:pP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u w:val="single"/>
        </w:rPr>
      </w:pPr>
      <w:r>
        <w:rPr>
          <w:rFonts w:hint="eastAsia" w:ascii="Arial" w:hAnsi="Arial" w:eastAsia="宋体" w:cs="Arial"/>
          <w:b/>
          <w:bCs/>
          <w:kern w:val="0"/>
          <w:szCs w:val="21"/>
          <w:u w:val="single"/>
        </w:rPr>
        <w:t>Others: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</w:rPr>
      </w:pPr>
      <w:r>
        <w:rPr>
          <w:rFonts w:hint="eastAsia" w:ascii="Arial" w:hAnsi="Arial" w:eastAsia="宋体" w:cs="Arial"/>
          <w:kern w:val="0"/>
          <w:szCs w:val="21"/>
        </w:rPr>
        <w:t>In R17, IAB node is considered as a network device, and UAC is not applied for IAB-MT as specified in TS 38.304 [5]. Similarly, the NCR node should be considered as network device and the similar principle should be applied for NCR-MT as well.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5: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Unified Access Control (UAC)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does not apply to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 NCR-MT. </w:t>
      </w:r>
    </w:p>
    <w:p>
      <w:pPr>
        <w:widowControl/>
        <w:spacing w:after="180"/>
        <w:rPr>
          <w:rFonts w:ascii="Arial" w:hAnsi="Arial" w:cs="Arial"/>
        </w:rPr>
      </w:pPr>
      <w:r>
        <w:rPr>
          <w:rFonts w:hint="eastAsia" w:ascii="Arial" w:hAnsi="Arial" w:eastAsia="宋体" w:cs="Arial"/>
          <w:kern w:val="0"/>
          <w:szCs w:val="21"/>
        </w:rPr>
        <w:t xml:space="preserve">During the cell selection/re-selection procedure, </w:t>
      </w:r>
      <w:r>
        <w:rPr>
          <w:rFonts w:ascii="Arial" w:hAnsi="Arial" w:cs="Arial"/>
        </w:rPr>
        <w:t xml:space="preserve">IAB-MT ignores the </w:t>
      </w:r>
      <w:r>
        <w:rPr>
          <w:rFonts w:ascii="Arial" w:hAnsi="Arial" w:cs="Arial"/>
          <w:bCs/>
          <w:i/>
        </w:rPr>
        <w:t>cellBarred</w:t>
      </w:r>
      <w:r>
        <w:rPr>
          <w:rFonts w:ascii="Arial" w:hAnsi="Arial" w:cs="Arial"/>
          <w:bCs/>
        </w:rPr>
        <w:t>,</w:t>
      </w:r>
      <w:r>
        <w:rPr>
          <w:rFonts w:ascii="Arial" w:hAnsi="Arial" w:cs="Arial"/>
          <w:bCs/>
          <w:i/>
        </w:rPr>
        <w:t xml:space="preserve"> cellReservedForOperatorUse, cellReservedForFutureUse,</w:t>
      </w:r>
      <w:r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i/>
        </w:rPr>
        <w:t>intraFreqReselection</w:t>
      </w:r>
      <w:r>
        <w:rPr>
          <w:rFonts w:ascii="Arial" w:hAnsi="Arial" w:cs="Arial"/>
          <w:bCs/>
        </w:rPr>
        <w:t xml:space="preserve"> (i.e. treats </w:t>
      </w:r>
      <w:r>
        <w:rPr>
          <w:rFonts w:ascii="Arial" w:hAnsi="Arial" w:cs="Arial"/>
          <w:bCs/>
          <w:i/>
        </w:rPr>
        <w:t>intraFreqReselection</w:t>
      </w:r>
      <w:r>
        <w:rPr>
          <w:rFonts w:ascii="Arial" w:hAnsi="Arial" w:cs="Arial"/>
          <w:bCs/>
        </w:rPr>
        <w:t xml:space="preserve"> as if it was set to </w:t>
      </w:r>
      <w:r>
        <w:rPr>
          <w:rFonts w:ascii="Arial" w:hAnsi="Arial" w:cs="Arial"/>
          <w:bCs/>
          <w:i/>
        </w:rPr>
        <w:t>allowed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IAB-MT also ignores </w:t>
      </w:r>
      <w:r>
        <w:rPr>
          <w:rFonts w:ascii="Arial" w:hAnsi="Arial" w:cs="Arial"/>
          <w:i/>
          <w:iCs/>
        </w:rPr>
        <w:t xml:space="preserve">cellReservedForOtherUse </w:t>
      </w:r>
      <w:r>
        <w:rPr>
          <w:rFonts w:ascii="Arial" w:hAnsi="Arial" w:cs="Arial"/>
        </w:rPr>
        <w:t xml:space="preserve">for cell barring determination (i.e. NPN capable IAB-MT considers </w:t>
      </w:r>
      <w:r>
        <w:rPr>
          <w:rFonts w:ascii="Arial" w:hAnsi="Arial" w:cs="Arial"/>
          <w:i/>
          <w:iCs/>
        </w:rPr>
        <w:t xml:space="preserve">cellReservedForOtherUse </w:t>
      </w:r>
      <w:r>
        <w:rPr>
          <w:rFonts w:ascii="Arial" w:hAnsi="Arial" w:cs="Arial"/>
        </w:rPr>
        <w:t>for determination of an NPN-only cell)</w:t>
      </w:r>
      <w:r>
        <w:rPr>
          <w:rFonts w:hint="eastAsia" w:ascii="Arial" w:hAnsi="Arial" w:cs="Arial"/>
        </w:rPr>
        <w:t xml:space="preserve">. We think the similar mechanism can be reused for NCR-MT. 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6: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NCR-MT should ignore 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>cellBarred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，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>cellReservedForOperatorUse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,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 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>cellReservedForFutureUse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，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 xml:space="preserve">cellReservedForOtherUse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and 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 xml:space="preserve">intraFreqReselection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during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 cell selection/reselection procedure. 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 w:eastAsia="en-US"/>
        </w:rPr>
      </w:pPr>
      <w:r>
        <w:rPr>
          <w:rFonts w:ascii="Arial" w:hAnsi="Arial" w:eastAsia="宋体" w:cs="Arial"/>
          <w:kern w:val="0"/>
          <w:szCs w:val="21"/>
          <w:lang w:val="en-GB" w:eastAsia="en-US"/>
        </w:rPr>
        <w:t>Here are the proposals for NCR enhancement.</w:t>
      </w:r>
    </w:p>
    <w:p>
      <w:pPr>
        <w:widowControl/>
        <w:spacing w:before="120" w:beforeLines="50" w:after="180"/>
        <w:rPr>
          <w:rFonts w:ascii="Arial" w:hAnsi="Arial" w:eastAsia="宋体" w:cs="Arial"/>
          <w:b/>
          <w:bCs/>
          <w:kern w:val="0"/>
          <w:szCs w:val="21"/>
        </w:rPr>
      </w:pPr>
      <w:r>
        <w:rPr>
          <w:rFonts w:ascii="Arial" w:hAnsi="Arial" w:eastAsia="宋体" w:cs="Arial"/>
          <w:b/>
          <w:bCs/>
          <w:kern w:val="0"/>
          <w:szCs w:val="21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1</w:t>
      </w:r>
      <w:r>
        <w:rPr>
          <w:rFonts w:ascii="Arial" w:hAnsi="Arial" w:eastAsia="宋体" w:cs="Arial"/>
          <w:b/>
          <w:bCs/>
          <w:kern w:val="0"/>
          <w:szCs w:val="21"/>
        </w:rPr>
        <w:t>: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 </w:t>
      </w:r>
      <w:r>
        <w:rPr>
          <w:rFonts w:ascii="Arial" w:hAnsi="Arial" w:eastAsia="宋体" w:cs="Arial"/>
          <w:b/>
          <w:bCs/>
          <w:kern w:val="0"/>
          <w:szCs w:val="21"/>
        </w:rPr>
        <w:t>RRC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 </w:t>
      </w:r>
      <w:r>
        <w:rPr>
          <w:rFonts w:ascii="Arial" w:hAnsi="Arial" w:eastAsia="宋体" w:cs="Arial"/>
          <w:b/>
          <w:bCs/>
          <w:kern w:val="0"/>
          <w:szCs w:val="21"/>
        </w:rPr>
        <w:t xml:space="preserve">based mechanism </w:t>
      </w:r>
      <w:r>
        <w:rPr>
          <w:rFonts w:hint="eastAsia" w:ascii="Arial" w:hAnsi="Arial" w:eastAsia="宋体" w:cs="Arial"/>
          <w:b/>
          <w:bCs/>
          <w:kern w:val="0"/>
          <w:szCs w:val="21"/>
          <w:lang w:val="en-US" w:eastAsia="zh-CN"/>
        </w:rPr>
        <w:t xml:space="preserve">should </w:t>
      </w:r>
      <w:bookmarkStart w:id="2" w:name="_GoBack"/>
      <w:bookmarkEnd w:id="2"/>
      <w:r>
        <w:rPr>
          <w:rFonts w:ascii="Arial" w:hAnsi="Arial" w:eastAsia="宋体" w:cs="Arial"/>
          <w:b/>
          <w:bCs/>
          <w:kern w:val="0"/>
          <w:szCs w:val="21"/>
        </w:rPr>
        <w:t xml:space="preserve">be prioritized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to provide the necessary configuration for receiving the L1/L2 signaling of the side control information</w:t>
      </w:r>
      <w:r>
        <w:rPr>
          <w:rFonts w:ascii="Arial" w:hAnsi="Arial" w:eastAsia="宋体" w:cs="Arial"/>
          <w:b/>
          <w:bCs/>
          <w:kern w:val="0"/>
          <w:szCs w:val="21"/>
        </w:rPr>
        <w:t>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</w:rPr>
      </w:pPr>
      <w:r>
        <w:rPr>
          <w:rFonts w:hint="eastAsia" w:ascii="Arial" w:hAnsi="Arial" w:eastAsia="宋体" w:cs="Arial"/>
          <w:b/>
          <w:bCs/>
          <w:kern w:val="0"/>
          <w:szCs w:val="21"/>
        </w:rPr>
        <w:t>Proposal 2: All RRC states should be supported by NCR-MT. No additional spec impact is needed.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3: RAN2 to introduce a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NCR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support indication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 in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 SIB1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4: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NCR-MT supports both SRB and DRB</w:t>
      </w:r>
      <w:r>
        <w:rPr>
          <w:rFonts w:ascii="Arial" w:hAnsi="Arial" w:eastAsia="宋体" w:cs="Arial"/>
          <w:b/>
          <w:bCs/>
          <w:kern w:val="0"/>
          <w:szCs w:val="21"/>
          <w:lang w:val="en-GB"/>
        </w:rPr>
        <w:t>, no spec impact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. 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Cs w:val="21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5: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Unified Access Control (UAC)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does not apply to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 NCR-MT. </w:t>
      </w:r>
    </w:p>
    <w:p>
      <w:pPr>
        <w:widowControl/>
        <w:spacing w:after="180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Proposal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6: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NCR-MT should ignore 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>cellBarred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，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>cellReservedForOperatorUse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,</w:t>
      </w:r>
      <w:r>
        <w:rPr>
          <w:rFonts w:hint="eastAsia" w:ascii="Arial" w:hAnsi="Arial" w:eastAsia="宋体" w:cs="Arial"/>
          <w:b/>
          <w:bCs/>
          <w:kern w:val="0"/>
          <w:szCs w:val="21"/>
        </w:rPr>
        <w:t xml:space="preserve"> 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>cellReservedForFutureUse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>，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 xml:space="preserve">cellReservedForOtherUse 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and </w:t>
      </w:r>
      <w:r>
        <w:rPr>
          <w:rFonts w:hint="eastAsia" w:ascii="Arial" w:hAnsi="Arial" w:eastAsia="宋体" w:cs="Arial"/>
          <w:b/>
          <w:bCs/>
          <w:i/>
          <w:iCs/>
          <w:kern w:val="0"/>
          <w:szCs w:val="21"/>
          <w:lang w:val="en-GB"/>
        </w:rPr>
        <w:t xml:space="preserve">intraFreqReselection </w:t>
      </w:r>
      <w:r>
        <w:rPr>
          <w:rFonts w:hint="eastAsia" w:ascii="Arial" w:hAnsi="Arial" w:eastAsia="宋体" w:cs="Arial"/>
          <w:b/>
          <w:bCs/>
          <w:kern w:val="0"/>
          <w:szCs w:val="21"/>
        </w:rPr>
        <w:t>during</w:t>
      </w:r>
      <w:r>
        <w:rPr>
          <w:rFonts w:hint="eastAsia" w:ascii="Arial" w:hAnsi="Arial" w:eastAsia="宋体" w:cs="Arial"/>
          <w:b/>
          <w:bCs/>
          <w:kern w:val="0"/>
          <w:szCs w:val="21"/>
          <w:lang w:val="en-GB"/>
        </w:rPr>
        <w:t xml:space="preserve"> cell selection/reselection procedure. 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Cs w:val="21"/>
          <w:lang w:val="en-GB" w:eastAsia="en-US"/>
        </w:rPr>
      </w:pPr>
      <w:r>
        <w:rPr>
          <w:rFonts w:ascii="Arial" w:hAnsi="Arial" w:eastAsia="宋体" w:cs="Arial"/>
          <w:kern w:val="0"/>
          <w:szCs w:val="21"/>
          <w:lang w:val="en-GB" w:eastAsia="en-US"/>
        </w:rPr>
        <w:t>RP-22</w:t>
      </w:r>
      <w:r>
        <w:rPr>
          <w:rFonts w:hint="eastAsia" w:ascii="Arial" w:hAnsi="Arial" w:eastAsia="宋体" w:cs="Arial"/>
          <w:kern w:val="0"/>
          <w:szCs w:val="21"/>
        </w:rPr>
        <w:t>2673</w:t>
      </w:r>
      <w:r>
        <w:rPr>
          <w:rFonts w:ascii="Arial" w:hAnsi="Arial" w:eastAsia="宋体" w:cs="Arial"/>
          <w:kern w:val="0"/>
          <w:szCs w:val="21"/>
          <w:lang w:val="en-GB" w:eastAsia="en-US"/>
        </w:rPr>
        <w:t xml:space="preserve">, </w:t>
      </w:r>
      <w:r>
        <w:rPr>
          <w:rFonts w:hint="eastAsia" w:ascii="Arial" w:hAnsi="Arial" w:eastAsia="宋体" w:cs="Arial"/>
          <w:kern w:val="0"/>
          <w:szCs w:val="21"/>
          <w:lang w:val="en-GB" w:eastAsia="en-US"/>
        </w:rPr>
        <w:t>New WID on NR network-controlled repeaters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hint="eastAsia" w:ascii="Arial" w:hAnsi="Arial" w:eastAsia="宋体" w:cs="Arial"/>
          <w:kern w:val="0"/>
          <w:szCs w:val="21"/>
          <w:lang w:val="en-GB"/>
        </w:rPr>
        <w:t>3</w:t>
      </w:r>
      <w:r>
        <w:rPr>
          <w:rFonts w:ascii="Arial" w:hAnsi="Arial" w:eastAsia="宋体" w:cs="Arial"/>
          <w:kern w:val="0"/>
          <w:szCs w:val="21"/>
          <w:lang w:val="en-GB"/>
        </w:rPr>
        <w:t>GPP TR 38.867, Study on NR network-controlled repeaters;</w:t>
      </w:r>
      <w:r>
        <w:rPr>
          <w:rFonts w:hint="eastAsia" w:ascii="Arial" w:hAnsi="Arial" w:eastAsia="宋体" w:cs="Arial"/>
          <w:kern w:val="0"/>
          <w:szCs w:val="21"/>
          <w:lang w:val="en-GB"/>
        </w:rPr>
        <w:t xml:space="preserve"> </w:t>
      </w:r>
      <w:r>
        <w:rPr>
          <w:rFonts w:ascii="Arial" w:hAnsi="Arial" w:eastAsia="宋体" w:cs="Arial"/>
          <w:kern w:val="0"/>
          <w:szCs w:val="21"/>
          <w:lang w:val="en-GB"/>
        </w:rPr>
        <w:t>(Release 18)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ascii="Arial" w:hAnsi="Arial" w:eastAsia="宋体" w:cs="Arial"/>
          <w:kern w:val="0"/>
          <w:szCs w:val="21"/>
          <w:lang w:val="en-GB"/>
        </w:rPr>
        <w:t>3GPP TS 38.331, NR; Radio R</w:t>
      </w:r>
      <w:r>
        <w:rPr>
          <w:rFonts w:hint="eastAsia" w:ascii="Arial" w:hAnsi="Arial" w:eastAsia="宋体" w:cs="Arial"/>
          <w:kern w:val="0"/>
          <w:szCs w:val="21"/>
          <w:lang w:val="en-GB"/>
        </w:rPr>
        <w:t>esource</w:t>
      </w:r>
      <w:r>
        <w:rPr>
          <w:rFonts w:ascii="Arial" w:hAnsi="Arial" w:eastAsia="宋体" w:cs="Arial"/>
          <w:kern w:val="0"/>
          <w:szCs w:val="21"/>
          <w:lang w:val="en-GB"/>
        </w:rPr>
        <w:t xml:space="preserve"> Control (RRC) protocol specification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ascii="Arial" w:hAnsi="Arial" w:eastAsia="宋体" w:cs="Arial"/>
          <w:kern w:val="0"/>
          <w:szCs w:val="21"/>
          <w:lang w:val="en-GB"/>
        </w:rPr>
        <w:t>3GPP TS 38.3</w:t>
      </w:r>
      <w:r>
        <w:rPr>
          <w:rFonts w:hint="eastAsia" w:ascii="Arial" w:hAnsi="Arial" w:eastAsia="宋体" w:cs="Arial"/>
          <w:kern w:val="0"/>
          <w:szCs w:val="21"/>
        </w:rPr>
        <w:t>00</w:t>
      </w:r>
      <w:r>
        <w:rPr>
          <w:rFonts w:ascii="Arial" w:hAnsi="Arial" w:eastAsia="宋体" w:cs="Arial"/>
          <w:kern w:val="0"/>
          <w:szCs w:val="21"/>
          <w:lang w:val="en-GB"/>
        </w:rPr>
        <w:t>,</w:t>
      </w:r>
      <w:r>
        <w:rPr>
          <w:rFonts w:hint="eastAsia" w:ascii="Arial" w:hAnsi="Arial" w:eastAsia="宋体" w:cs="Arial"/>
          <w:kern w:val="0"/>
          <w:szCs w:val="21"/>
        </w:rPr>
        <w:t xml:space="preserve"> </w:t>
      </w:r>
      <w:r>
        <w:rPr>
          <w:rFonts w:hint="eastAsia" w:ascii="Arial" w:hAnsi="Arial" w:eastAsia="宋体" w:cs="Arial"/>
          <w:kern w:val="0"/>
          <w:szCs w:val="21"/>
          <w:lang w:val="en-GB"/>
        </w:rPr>
        <w:t>NR; NR and NG-RAN Overall Description;Stage 2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Cs w:val="21"/>
          <w:lang w:val="en-GB"/>
        </w:rPr>
      </w:pPr>
      <w:r>
        <w:rPr>
          <w:rFonts w:ascii="Arial" w:hAnsi="Arial" w:eastAsia="宋体" w:cs="Arial"/>
          <w:kern w:val="0"/>
          <w:szCs w:val="21"/>
          <w:lang w:val="en-GB"/>
        </w:rPr>
        <w:t>3GPP TS 38.</w:t>
      </w:r>
      <w:r>
        <w:rPr>
          <w:rFonts w:hint="eastAsia" w:ascii="Arial" w:hAnsi="Arial" w:eastAsia="宋体" w:cs="Arial"/>
          <w:kern w:val="0"/>
          <w:szCs w:val="21"/>
        </w:rPr>
        <w:t>304</w:t>
      </w:r>
      <w:r>
        <w:rPr>
          <w:rFonts w:ascii="Arial" w:hAnsi="Arial" w:eastAsia="宋体" w:cs="Arial"/>
          <w:kern w:val="0"/>
          <w:szCs w:val="21"/>
          <w:lang w:val="en-GB"/>
        </w:rPr>
        <w:t>, N</w:t>
      </w:r>
      <w:r>
        <w:rPr>
          <w:rFonts w:hint="eastAsia" w:ascii="Arial" w:hAnsi="Arial" w:eastAsia="宋体" w:cs="Arial"/>
          <w:kern w:val="0"/>
          <w:szCs w:val="21"/>
        </w:rPr>
        <w:t>R</w:t>
      </w:r>
      <w:r>
        <w:rPr>
          <w:rFonts w:ascii="Arial" w:hAnsi="Arial" w:eastAsia="宋体" w:cs="Arial"/>
          <w:kern w:val="0"/>
          <w:szCs w:val="21"/>
          <w:lang w:val="en-GB"/>
        </w:rPr>
        <w:t xml:space="preserve">; </w:t>
      </w:r>
      <w:r>
        <w:rPr>
          <w:rFonts w:hint="eastAsia" w:ascii="Arial" w:hAnsi="Arial" w:eastAsia="宋体" w:cs="Arial"/>
          <w:kern w:val="0"/>
          <w:szCs w:val="21"/>
          <w:lang w:val="en-GB"/>
        </w:rPr>
        <w:t>User Equipment (UE) procedures in Idle mode and RRC Inactive state</w:t>
      </w:r>
      <w:r>
        <w:rPr>
          <w:rFonts w:ascii="Arial" w:hAnsi="Arial" w:eastAsia="宋体" w:cs="Arial"/>
          <w:kern w:val="0"/>
          <w:szCs w:val="21"/>
          <w:lang w:val="en-GB"/>
        </w:rPr>
        <w:t xml:space="preserve"> </w:t>
      </w:r>
    </w:p>
    <w:p>
      <w:pPr>
        <w:rPr>
          <w:lang w:val="en-GB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4262B6"/>
    <w:multiLevelType w:val="multilevel"/>
    <w:tmpl w:val="104262B6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31F7485"/>
    <w:multiLevelType w:val="multilevel"/>
    <w:tmpl w:val="331F748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6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710194"/>
    <w:multiLevelType w:val="multilevel"/>
    <w:tmpl w:val="7071019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A3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E0483"/>
    <w:rsid w:val="000F0EDC"/>
    <w:rsid w:val="000F3D5A"/>
    <w:rsid w:val="00106925"/>
    <w:rsid w:val="00196A53"/>
    <w:rsid w:val="001E2496"/>
    <w:rsid w:val="001F7978"/>
    <w:rsid w:val="002215C2"/>
    <w:rsid w:val="002217F4"/>
    <w:rsid w:val="00225D63"/>
    <w:rsid w:val="00233553"/>
    <w:rsid w:val="00234354"/>
    <w:rsid w:val="002650A3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28AE"/>
    <w:rsid w:val="004659EF"/>
    <w:rsid w:val="00480B0B"/>
    <w:rsid w:val="004B509A"/>
    <w:rsid w:val="004E4DAD"/>
    <w:rsid w:val="005075A3"/>
    <w:rsid w:val="00523942"/>
    <w:rsid w:val="00525BBB"/>
    <w:rsid w:val="005B2FE7"/>
    <w:rsid w:val="005C3989"/>
    <w:rsid w:val="005E7E07"/>
    <w:rsid w:val="006100C7"/>
    <w:rsid w:val="00610B28"/>
    <w:rsid w:val="006743B8"/>
    <w:rsid w:val="00680623"/>
    <w:rsid w:val="006A4FB5"/>
    <w:rsid w:val="006B0BFB"/>
    <w:rsid w:val="006D1DA8"/>
    <w:rsid w:val="0074611C"/>
    <w:rsid w:val="007A2ADF"/>
    <w:rsid w:val="007B28E6"/>
    <w:rsid w:val="007E3904"/>
    <w:rsid w:val="00843904"/>
    <w:rsid w:val="0086399A"/>
    <w:rsid w:val="00894A29"/>
    <w:rsid w:val="008A5A0B"/>
    <w:rsid w:val="008D110D"/>
    <w:rsid w:val="008E4F97"/>
    <w:rsid w:val="00940BA3"/>
    <w:rsid w:val="00950D36"/>
    <w:rsid w:val="00956A27"/>
    <w:rsid w:val="00982B04"/>
    <w:rsid w:val="009924F0"/>
    <w:rsid w:val="009D3F27"/>
    <w:rsid w:val="009E36A7"/>
    <w:rsid w:val="009E6BC9"/>
    <w:rsid w:val="00A350C4"/>
    <w:rsid w:val="00AC3458"/>
    <w:rsid w:val="00AD67D5"/>
    <w:rsid w:val="00AD727F"/>
    <w:rsid w:val="00B24F10"/>
    <w:rsid w:val="00B73C33"/>
    <w:rsid w:val="00B846FB"/>
    <w:rsid w:val="00B84BEF"/>
    <w:rsid w:val="00BB6E56"/>
    <w:rsid w:val="00C03FFA"/>
    <w:rsid w:val="00C12245"/>
    <w:rsid w:val="00C53226"/>
    <w:rsid w:val="00C95F8C"/>
    <w:rsid w:val="00CD18ED"/>
    <w:rsid w:val="00CF1C01"/>
    <w:rsid w:val="00CF2DAA"/>
    <w:rsid w:val="00CF7DF1"/>
    <w:rsid w:val="00D01E09"/>
    <w:rsid w:val="00D66BFB"/>
    <w:rsid w:val="00D9059D"/>
    <w:rsid w:val="00DA12B1"/>
    <w:rsid w:val="00DA6656"/>
    <w:rsid w:val="00DE5620"/>
    <w:rsid w:val="00E513DD"/>
    <w:rsid w:val="00E82408"/>
    <w:rsid w:val="00EC7004"/>
    <w:rsid w:val="00ED765C"/>
    <w:rsid w:val="00EF5EE1"/>
    <w:rsid w:val="00F02DFE"/>
    <w:rsid w:val="00F032CD"/>
    <w:rsid w:val="00F05AB0"/>
    <w:rsid w:val="00F0760F"/>
    <w:rsid w:val="00F33D13"/>
    <w:rsid w:val="00F47D8B"/>
    <w:rsid w:val="00F627D0"/>
    <w:rsid w:val="00F841B6"/>
    <w:rsid w:val="00F92EA1"/>
    <w:rsid w:val="036B1275"/>
    <w:rsid w:val="04511672"/>
    <w:rsid w:val="11A804F4"/>
    <w:rsid w:val="1359284E"/>
    <w:rsid w:val="15D93B67"/>
    <w:rsid w:val="16086808"/>
    <w:rsid w:val="173B58F9"/>
    <w:rsid w:val="182F4E8E"/>
    <w:rsid w:val="1B3B6E11"/>
    <w:rsid w:val="1E036793"/>
    <w:rsid w:val="215D56AB"/>
    <w:rsid w:val="22073456"/>
    <w:rsid w:val="25A57EAB"/>
    <w:rsid w:val="270A40F0"/>
    <w:rsid w:val="286B162D"/>
    <w:rsid w:val="29F4348B"/>
    <w:rsid w:val="2A5900B6"/>
    <w:rsid w:val="2F0F67FB"/>
    <w:rsid w:val="31D512FF"/>
    <w:rsid w:val="3965587A"/>
    <w:rsid w:val="3B7727A0"/>
    <w:rsid w:val="3B7A343B"/>
    <w:rsid w:val="3BA475FE"/>
    <w:rsid w:val="3E964ABE"/>
    <w:rsid w:val="3EB21CFB"/>
    <w:rsid w:val="3EE74569"/>
    <w:rsid w:val="40F95B1B"/>
    <w:rsid w:val="418A7597"/>
    <w:rsid w:val="44CD5016"/>
    <w:rsid w:val="4610610D"/>
    <w:rsid w:val="48EA1893"/>
    <w:rsid w:val="4CDE108B"/>
    <w:rsid w:val="4FF35F19"/>
    <w:rsid w:val="528B5903"/>
    <w:rsid w:val="549340F6"/>
    <w:rsid w:val="59AF5C55"/>
    <w:rsid w:val="5F600D4E"/>
    <w:rsid w:val="60D64A89"/>
    <w:rsid w:val="619E4744"/>
    <w:rsid w:val="634E6ACE"/>
    <w:rsid w:val="639A193F"/>
    <w:rsid w:val="644938C9"/>
    <w:rsid w:val="6452248C"/>
    <w:rsid w:val="667E370D"/>
    <w:rsid w:val="669F0B6A"/>
    <w:rsid w:val="700F2A17"/>
    <w:rsid w:val="715360B9"/>
    <w:rsid w:val="75633D83"/>
    <w:rsid w:val="75E71F22"/>
    <w:rsid w:val="7A745E1A"/>
    <w:rsid w:val="7CB44365"/>
    <w:rsid w:val="7CC21269"/>
    <w:rsid w:val="7D130633"/>
    <w:rsid w:val="7E4932C0"/>
    <w:rsid w:val="7EDB150D"/>
    <w:rsid w:val="7FE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Batang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uiPriority w:val="0"/>
    <w:pPr>
      <w:ind w:left="568" w:hanging="284"/>
    </w:p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2">
    <w:name w:val="TH"/>
    <w:basedOn w:val="1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13">
    <w:name w:val="TF"/>
    <w:basedOn w:val="12"/>
    <w:qFormat/>
    <w:uiPriority w:val="0"/>
    <w:pPr>
      <w:keepNext w:val="0"/>
      <w:spacing w:before="0" w:after="240"/>
    </w:p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Proposal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spacing w:after="120"/>
    </w:pPr>
    <w:rPr>
      <w:rFonts w:ascii="Arial" w:hAnsi="Arial" w:eastAsia="宋体" w:cs="Arial"/>
      <w:b/>
      <w:bCs/>
      <w:szCs w:val="20"/>
    </w:rPr>
  </w:style>
  <w:style w:type="paragraph" w:customStyle="1" w:styleId="17">
    <w:name w:val="NO"/>
    <w:basedOn w:val="1"/>
    <w:qFormat/>
    <w:uiPriority w:val="0"/>
    <w:pPr>
      <w:keepLines/>
      <w:ind w:left="1135" w:hanging="851"/>
    </w:pPr>
  </w:style>
  <w:style w:type="paragraph" w:customStyle="1" w:styleId="18">
    <w:name w:val="B1"/>
    <w:basedOn w:val="6"/>
    <w:qFormat/>
    <w:uiPriority w:val="0"/>
  </w:style>
  <w:style w:type="paragraph" w:customStyle="1" w:styleId="19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1281</Words>
  <Characters>7304</Characters>
  <Lines>60</Lines>
  <Paragraphs>17</Paragraphs>
  <TotalTime>1</TotalTime>
  <ScaleCrop>false</ScaleCrop>
  <LinksUpToDate>false</LinksUpToDate>
  <CharactersWithSpaces>8568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2022-08-03T06:38:00Z</dcterms:created>
  <dc:creator>CMCC_TJY</dc:creator>
  <cp:lastModifiedBy>cmcc_TJY</cp:lastModifiedBy>
  <dcterms:modified xsi:type="dcterms:W3CDTF">2022-09-30T09:15:50Z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9B098CA5ED534BB6A3C61C451FE5AA09</vt:lpwstr>
  </property>
</Properties>
</file>